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posOffset>296545</wp:posOffset>
            </wp:positionV>
            <wp:extent cx="5626100" cy="934085"/>
            <wp:effectExtent b="0" l="0" r="0" t="0"/>
            <wp:wrapSquare wrapText="bothSides" distB="0" distT="0" distL="114300" distR="11430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9340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Merriweather" w:cs="Merriweather" w:eastAsia="Merriweather" w:hAnsi="Merriweather"/>
          <w:b w:val="1"/>
          <w:sz w:val="32"/>
          <w:szCs w:val="32"/>
        </w:rPr>
      </w:pP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32"/>
              <w:szCs w:val="32"/>
              <w:rtl w:val="0"/>
            </w:rPr>
            <w:t xml:space="preserve">Տնկանյութի գնման </w:t>
          </w:r>
        </w:sdtContent>
      </w:sdt>
    </w:p>
    <w:p w:rsidR="00000000" w:rsidDel="00000000" w:rsidP="00000000" w:rsidRDefault="00000000" w:rsidRPr="00000000" w14:paraId="00000008">
      <w:pPr>
        <w:jc w:val="center"/>
        <w:rPr>
          <w:rFonts w:ascii="Merriweather" w:cs="Merriweather" w:eastAsia="Merriweather" w:hAnsi="Merriweather"/>
          <w:b w:val="1"/>
          <w:sz w:val="32"/>
          <w:szCs w:val="32"/>
        </w:rPr>
      </w:pP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32"/>
              <w:szCs w:val="32"/>
              <w:rtl w:val="0"/>
            </w:rPr>
            <w:t xml:space="preserve">մրցույթ-հայտարարություն</w:t>
          </w:r>
        </w:sdtContent>
      </w:sdt>
    </w:p>
    <w:p w:rsidR="00000000" w:rsidDel="00000000" w:rsidP="00000000" w:rsidRDefault="00000000" w:rsidRPr="00000000" w14:paraId="00000009">
      <w:pPr>
        <w:jc w:val="both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Merriweather" w:cs="Merriweather" w:eastAsia="Merriweather" w:hAnsi="Merriweather"/>
          <w:color w:val="000000"/>
        </w:rPr>
      </w:pPr>
      <w:bookmarkStart w:colFirst="0" w:colLast="0" w:name="_heading=h.gjdgxs" w:id="0"/>
      <w:bookmarkEnd w:id="0"/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«Էյ Թի Փի» բարեգործական հիմնադրամը (ATP Charitable Foundation), համագործակցելով «Ջինիշյան» հիշատակի հիմնադրամի և «Էներգետիկայի հայկական գործակալություն» հիմնադրամի հետ, Եվրամիությանֆինանսավորմամբ 2021թ մարտի 1-ից մեկնարկել է  EU4ENVIRONMENT. «ԿԱՆԱՉ ՀԱՄԱՅՆՔ` ԴԻՄԱԿԱՅՈՒՆ ԱՊԱԳԱ» եռամյա ծրագիրը (NEAR-TS/2020/168333-3/2)։</w:t>
          </w:r>
        </w:sdtContent>
      </w:sdt>
    </w:p>
    <w:p w:rsidR="00000000" w:rsidDel="00000000" w:rsidP="00000000" w:rsidRDefault="00000000" w:rsidRPr="00000000" w14:paraId="0000000B">
      <w:pPr>
        <w:jc w:val="both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Merriweather" w:cs="Merriweather" w:eastAsia="Merriweather" w:hAnsi="Merriweather"/>
          <w:color w:val="000000"/>
        </w:rPr>
      </w:pP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Ծրագրի շրջանակում նախատեսվում է իրականացնել տնկանյութի գնում, որի համար կազմակերպվող մրցույթ-հայտարարության մանրամասները կարող եք տեսնել ստորև:</w:t>
          </w:r>
        </w:sdtContent>
      </w:sdt>
    </w:p>
    <w:p w:rsidR="00000000" w:rsidDel="00000000" w:rsidP="00000000" w:rsidRDefault="00000000" w:rsidRPr="00000000" w14:paraId="0000000D">
      <w:pPr>
        <w:jc w:val="both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Merriweather" w:cs="Merriweather" w:eastAsia="Merriweather" w:hAnsi="Merriweather"/>
          <w:b w:val="1"/>
          <w:sz w:val="32"/>
          <w:szCs w:val="32"/>
        </w:rPr>
      </w:pP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Հայտերի ընդունման ժամկետը՝ 2021թ. հունիսի 11-ից մինչև 2021թ. հուլիսի 11-ը:</w:t>
          </w:r>
        </w:sdtContent>
      </w:sdt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Կդիտարկվեն միայն լիարժեք դիմումները, որոնք հայտատուին ներկայացվող պարտադիր պայմաններին (տե'ս ստորև) առնչվող փաստաթղթերի հետ միասին պետք է ներառեն նաեւ գնառաջարկն՝ ըստ հաջորդիվ ներկայացված տեխնիկական բնութագրի և գնման ժամանակացույցի: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Merriweather" w:cs="Merriweather" w:eastAsia="Merriweather" w:hAnsi="Merriweather"/>
          <w:b w:val="1"/>
        </w:rPr>
      </w:pPr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Տեխնիկական բնութագիր և գնման ժամանակացույց</w:t>
          </w:r>
        </w:sdtContent>
      </w:sdt>
    </w:p>
    <w:tbl>
      <w:tblPr>
        <w:tblStyle w:val="Table1"/>
        <w:tblW w:w="14858.0" w:type="dxa"/>
        <w:jc w:val="left"/>
        <w:tblInd w:w="-72.0" w:type="dxa"/>
        <w:tblLayout w:type="fixed"/>
        <w:tblLook w:val="0400"/>
      </w:tblPr>
      <w:tblGrid>
        <w:gridCol w:w="1500"/>
        <w:gridCol w:w="1705"/>
        <w:gridCol w:w="1064"/>
        <w:gridCol w:w="1550"/>
        <w:gridCol w:w="1757"/>
        <w:gridCol w:w="1374"/>
        <w:gridCol w:w="1374"/>
        <w:gridCol w:w="1079"/>
        <w:gridCol w:w="1282"/>
        <w:gridCol w:w="1282"/>
        <w:gridCol w:w="891"/>
        <w:tblGridChange w:id="0">
          <w:tblGrid>
            <w:gridCol w:w="1500"/>
            <w:gridCol w:w="1705"/>
            <w:gridCol w:w="1064"/>
            <w:gridCol w:w="1550"/>
            <w:gridCol w:w="1757"/>
            <w:gridCol w:w="1374"/>
            <w:gridCol w:w="1374"/>
            <w:gridCol w:w="1079"/>
            <w:gridCol w:w="1282"/>
            <w:gridCol w:w="1282"/>
            <w:gridCol w:w="891"/>
          </w:tblGrid>
        </w:tblGridChange>
      </w:tblGrid>
      <w:tr>
        <w:trPr>
          <w:trHeight w:val="900" w:hRule="atLeast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20"/>
                <w:szCs w:val="20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0"/>
                    <w:szCs w:val="20"/>
                    <w:rtl w:val="0"/>
                  </w:rPr>
                  <w:t xml:space="preserve">Չափաբաժինը</w:t>
                </w:r>
              </w:sdtContent>
            </w:sdt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20"/>
                <w:szCs w:val="20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0"/>
                    <w:szCs w:val="20"/>
                    <w:rtl w:val="0"/>
                  </w:rPr>
                  <w:t xml:space="preserve">Տնկանյութր ըստ ծառատեսակների</w:t>
                </w:r>
              </w:sdtContent>
            </w:sdt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20"/>
                <w:szCs w:val="20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0"/>
                    <w:szCs w:val="20"/>
                    <w:rtl w:val="0"/>
                  </w:rPr>
                  <w:t xml:space="preserve">Տարիքը/ տարեկան</w:t>
                </w:r>
              </w:sdtContent>
            </w:sdt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0"/>
                    <w:szCs w:val="20"/>
                    <w:rtl w:val="0"/>
                  </w:rPr>
                  <w:t xml:space="preserve">Արմատավզիկի տրամագիծը/մմ</w:t>
                </w:r>
              </w:sdtContent>
            </w:sdt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0"/>
                    <w:szCs w:val="20"/>
                    <w:rtl w:val="0"/>
                  </w:rPr>
                  <w:t xml:space="preserve">Ցողունի բարձրությունը/սմ</w:t>
                </w:r>
              </w:sdtContent>
            </w:sdt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20"/>
                <w:szCs w:val="20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0"/>
                    <w:szCs w:val="20"/>
                    <w:rtl w:val="0"/>
                  </w:rPr>
                  <w:t xml:space="preserve">Ըստ արմատային համակարգի տնկանյութի քանակությունը/հատ</w:t>
                </w:r>
              </w:sdtContent>
            </w:sdt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0"/>
                    <w:szCs w:val="20"/>
                    <w:rtl w:val="0"/>
                  </w:rPr>
                  <w:t xml:space="preserve">Տնկանյութի չափաքանակների մատակարարումը ըստ համայնքների և տնկման ժամանակահատվածի</w:t>
                </w:r>
              </w:sdtContent>
            </w:sdt>
          </w:p>
        </w:tc>
      </w:tr>
      <w:tr>
        <w:trPr>
          <w:trHeight w:val="900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20"/>
                <w:szCs w:val="20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0"/>
                    <w:szCs w:val="20"/>
                    <w:rtl w:val="0"/>
                  </w:rPr>
                  <w:t xml:space="preserve">Փակ արմատային համակարգով</w:t>
                </w:r>
              </w:sdtContent>
            </w:sdt>
          </w:p>
        </w:tc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20"/>
                <w:szCs w:val="20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0"/>
                    <w:szCs w:val="20"/>
                    <w:rtl w:val="0"/>
                  </w:rPr>
                  <w:t xml:space="preserve">Բաց արմատային համակարգով</w:t>
                </w:r>
              </w:sdtContent>
            </w:sdt>
          </w:p>
        </w:tc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20"/>
                <w:szCs w:val="20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0"/>
                    <w:szCs w:val="20"/>
                    <w:rtl w:val="0"/>
                  </w:rPr>
                  <w:t xml:space="preserve">Ընդամենը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0"/>
                    <w:szCs w:val="20"/>
                    <w:rtl w:val="0"/>
                  </w:rPr>
                  <w:t xml:space="preserve">Լեռնակերտ</w:t>
                </w:r>
              </w:sdtContent>
            </w:sdt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0"/>
                    <w:szCs w:val="20"/>
                    <w:rtl w:val="0"/>
                  </w:rPr>
                  <w:t xml:space="preserve">Մեծ Սարիար</w:t>
                </w:r>
              </w:sdtContent>
            </w:sdt>
          </w:p>
        </w:tc>
      </w:tr>
      <w:tr>
        <w:trPr>
          <w:trHeight w:val="1020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0"/>
                    <w:szCs w:val="20"/>
                    <w:rtl w:val="0"/>
                  </w:rPr>
                  <w:t xml:space="preserve">2021թ. հոկտեմբերի 20 - նոյեմբերի 20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0"/>
                    <w:szCs w:val="20"/>
                    <w:rtl w:val="0"/>
                  </w:rPr>
                  <w:t xml:space="preserve">2021թ. հոկտեմբերի 20 - նոյեմբերի 20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0"/>
                    <w:szCs w:val="20"/>
                    <w:rtl w:val="0"/>
                  </w:rPr>
                  <w:t xml:space="preserve">2022թ</w:t>
                </w:r>
              </w:sdtContent>
            </w:sdt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․</w:t>
            </w: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0"/>
                    <w:szCs w:val="20"/>
                    <w:rtl w:val="0"/>
                  </w:rPr>
                  <w:t xml:space="preserve"> մարտի 15- ապրիլի 15</w:t>
                </w:r>
              </w:sdtContent>
            </w:sdt>
          </w:p>
        </w:tc>
      </w:tr>
      <w:tr>
        <w:trPr>
          <w:trHeight w:val="102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A">
            <w:pPr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0"/>
                    <w:szCs w:val="20"/>
                    <w:rtl w:val="0"/>
                  </w:rPr>
                  <w:t xml:space="preserve">Սոճի՝  սովորական և ղրիմյան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0"/>
                    <w:szCs w:val="20"/>
                    <w:rtl w:val="0"/>
                  </w:rPr>
                  <w:t xml:space="preserve">4-6 մմ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0"/>
                    <w:szCs w:val="20"/>
                    <w:rtl w:val="0"/>
                  </w:rPr>
                  <w:t xml:space="preserve">25-30սմ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F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25000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0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78000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1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103000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25000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3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32000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4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46000</w:t>
            </w:r>
          </w:p>
        </w:tc>
      </w:tr>
      <w:tr>
        <w:trPr>
          <w:trHeight w:val="51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5">
            <w:pPr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0"/>
                    <w:szCs w:val="20"/>
                    <w:rtl w:val="0"/>
                  </w:rPr>
                  <w:t xml:space="preserve">Կաղնի արևելյան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8">
            <w:pPr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0"/>
                    <w:szCs w:val="20"/>
                    <w:rtl w:val="0"/>
                  </w:rPr>
                  <w:t xml:space="preserve">      3-6 մմ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9">
            <w:pPr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0"/>
                    <w:szCs w:val="20"/>
                    <w:rtl w:val="0"/>
                  </w:rPr>
                  <w:t xml:space="preserve">10-20սմ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A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12000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63000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C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75000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47000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E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28000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F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trHeight w:val="765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0"/>
                    <w:szCs w:val="20"/>
                    <w:rtl w:val="0"/>
                  </w:rPr>
                  <w:t xml:space="preserve">Թխկի բարձրլեռնային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2-3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0"/>
                    <w:szCs w:val="20"/>
                    <w:rtl w:val="0"/>
                  </w:rPr>
                  <w:t xml:space="preserve">       5-10 մմ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4">
            <w:pPr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0"/>
                    <w:szCs w:val="20"/>
                    <w:rtl w:val="0"/>
                  </w:rPr>
                  <w:t xml:space="preserve">15-35 սմ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5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2000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6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10000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7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12000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8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5000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5000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A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2000</w:t>
            </w:r>
          </w:p>
        </w:tc>
      </w:tr>
      <w:tr>
        <w:trPr>
          <w:trHeight w:val="102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B">
            <w:pPr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0"/>
                    <w:szCs w:val="20"/>
                    <w:rtl w:val="0"/>
                  </w:rPr>
                  <w:t xml:space="preserve">Կեչի՝ ելունդավոր, Լիտվինովի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D">
            <w:pPr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2-3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0"/>
                    <w:szCs w:val="20"/>
                    <w:rtl w:val="0"/>
                  </w:rPr>
                  <w:t xml:space="preserve">       4-10 մմ 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0"/>
                    <w:szCs w:val="20"/>
                    <w:rtl w:val="0"/>
                  </w:rPr>
                  <w:t xml:space="preserve">30-60 սմ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0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2000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1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10000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12000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3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5000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5000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2000</w:t>
            </w:r>
          </w:p>
        </w:tc>
      </w:tr>
      <w:tr>
        <w:trPr>
          <w:trHeight w:val="765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7">
            <w:pPr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0"/>
                    <w:szCs w:val="20"/>
                    <w:rtl w:val="0"/>
                  </w:rPr>
                  <w:t xml:space="preserve">Հացենի սովորական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2-3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9">
            <w:pPr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0"/>
                    <w:szCs w:val="20"/>
                    <w:rtl w:val="0"/>
                  </w:rPr>
                  <w:t xml:space="preserve">      6-10 մմ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0"/>
                    <w:szCs w:val="20"/>
                    <w:rtl w:val="0"/>
                  </w:rPr>
                  <w:t xml:space="preserve">40-60 սմ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B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20000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D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20000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11000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F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3000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6000</w:t>
            </w:r>
          </w:p>
        </w:tc>
      </w:tr>
      <w:tr>
        <w:trPr>
          <w:trHeight w:val="51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0"/>
                    <w:szCs w:val="20"/>
                    <w:rtl w:val="0"/>
                  </w:rPr>
                  <w:t xml:space="preserve">Արևելյան խնձորենի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2-3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4">
            <w:pPr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0"/>
                    <w:szCs w:val="20"/>
                    <w:rtl w:val="0"/>
                  </w:rPr>
                  <w:t xml:space="preserve">      3-6մմ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0"/>
                    <w:szCs w:val="20"/>
                    <w:rtl w:val="0"/>
                  </w:rPr>
                  <w:t xml:space="preserve"> 25-50սմ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6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5000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7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34000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8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39000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9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13200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A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13500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B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12300</w:t>
            </w:r>
          </w:p>
        </w:tc>
      </w:tr>
      <w:tr>
        <w:trPr>
          <w:trHeight w:val="51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C">
            <w:pPr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D">
            <w:pPr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0"/>
                    <w:szCs w:val="20"/>
                    <w:rtl w:val="0"/>
                  </w:rPr>
                  <w:t xml:space="preserve"> Տանձենի կովկասյան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E">
            <w:pPr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2 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F">
            <w:pPr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0"/>
                    <w:szCs w:val="20"/>
                    <w:rtl w:val="0"/>
                  </w:rPr>
                  <w:t xml:space="preserve">      2-4մմ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0">
            <w:pPr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0"/>
                    <w:szCs w:val="20"/>
                    <w:rtl w:val="0"/>
                  </w:rPr>
                  <w:t xml:space="preserve"> 10-20սմ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1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5000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2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34000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3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39000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4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13200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5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13500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6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12300</w:t>
            </w:r>
          </w:p>
        </w:tc>
      </w:tr>
      <w:tr>
        <w:trPr>
          <w:trHeight w:val="300" w:hRule="atLeast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7">
            <w:pPr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20"/>
                <w:szCs w:val="20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0"/>
                    <w:szCs w:val="20"/>
                    <w:rtl w:val="0"/>
                  </w:rPr>
                  <w:t xml:space="preserve">Ընդամենը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B">
            <w:pPr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C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51000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D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249000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E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300000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F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119400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0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100000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1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80600</w:t>
            </w:r>
          </w:p>
        </w:tc>
      </w:tr>
    </w:tbl>
    <w:p w:rsidR="00000000" w:rsidDel="00000000" w:rsidP="00000000" w:rsidRDefault="00000000" w:rsidRPr="00000000" w14:paraId="00000092">
      <w:pPr>
        <w:jc w:val="both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both"/>
        <w:rPr>
          <w:rFonts w:ascii="Merriweather" w:cs="Merriweather" w:eastAsia="Merriweather" w:hAnsi="Merriweather"/>
          <w:b w:val="1"/>
          <w:color w:val="000000"/>
          <w:sz w:val="20"/>
          <w:szCs w:val="20"/>
        </w:rPr>
      </w:pPr>
      <w:sdt>
        <w:sdtPr>
          <w:tag w:val="goog_rdk_4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0"/>
              <w:szCs w:val="20"/>
              <w:rtl w:val="0"/>
            </w:rPr>
            <w:t xml:space="preserve">* Հայտատուին ներկայացվող պարտադիր պայմանները՝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94">
      <w:pPr>
        <w:jc w:val="both"/>
        <w:rPr>
          <w:rFonts w:ascii="Merriweather" w:cs="Merriweather" w:eastAsia="Merriweather" w:hAnsi="Merriweather"/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․</w:t>
      </w:r>
      <w:sdt>
        <w:sdtPr>
          <w:tag w:val="goog_rdk_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0"/>
              <w:szCs w:val="20"/>
              <w:rtl w:val="0"/>
            </w:rPr>
            <w:t xml:space="preserve"> Տնկանյութը պետք է աճեցված լինի ՀՀ անտառներից հավաքած տեղական տեսակների սերմերից: </w:t>
          </w:r>
        </w:sdtContent>
      </w:sdt>
    </w:p>
    <w:p w:rsidR="00000000" w:rsidDel="00000000" w:rsidP="00000000" w:rsidRDefault="00000000" w:rsidRPr="00000000" w14:paraId="00000095">
      <w:pPr>
        <w:jc w:val="both"/>
        <w:rPr>
          <w:rFonts w:ascii="Merriweather" w:cs="Merriweather" w:eastAsia="Merriweather" w:hAnsi="Merriweather"/>
          <w:color w:val="000000"/>
          <w:sz w:val="20"/>
          <w:szCs w:val="20"/>
        </w:rPr>
      </w:pPr>
      <w:sdt>
        <w:sdtPr>
          <w:tag w:val="goog_rdk_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0"/>
              <w:szCs w:val="20"/>
              <w:rtl w:val="0"/>
            </w:rPr>
            <w:t xml:space="preserve">. Նշված տնկանյութից 119,400  հատը պետք է առաքել Շիրակի մարզի Լեռնակերտ համայնք աշուն 2021- ին, 100,000 հատը Մեծ Սարիար համայնք աշուն 2021-ին, իսկ 80,600 հատ գարուն 2022թ: </w:t>
          </w:r>
        </w:sdtContent>
      </w:sdt>
    </w:p>
    <w:p w:rsidR="00000000" w:rsidDel="00000000" w:rsidP="00000000" w:rsidRDefault="00000000" w:rsidRPr="00000000" w14:paraId="00000096">
      <w:pPr>
        <w:jc w:val="both"/>
        <w:rPr>
          <w:rFonts w:ascii="Merriweather" w:cs="Merriweather" w:eastAsia="Merriweather" w:hAnsi="Merriweather"/>
          <w:color w:val="000000"/>
          <w:sz w:val="20"/>
          <w:szCs w:val="20"/>
        </w:rPr>
      </w:pPr>
      <w:sdt>
        <w:sdtPr>
          <w:tag w:val="goog_rdk_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0"/>
              <w:szCs w:val="20"/>
              <w:rtl w:val="0"/>
            </w:rPr>
            <w:t xml:space="preserve">. Տնկանյութի (բաց արմատային համակարգով աճեցված) տեղափոխումը տնկարանից մինչև տնկատեղ պետք է կատարվի հողատորֆային ջրային լուծույթով պատրաստված դույլերի մեջ։</w:t>
          </w:r>
        </w:sdtContent>
      </w:sdt>
    </w:p>
    <w:p w:rsidR="00000000" w:rsidDel="00000000" w:rsidP="00000000" w:rsidRDefault="00000000" w:rsidRPr="00000000" w14:paraId="00000097">
      <w:pPr>
        <w:jc w:val="both"/>
        <w:rPr>
          <w:rFonts w:ascii="Merriweather" w:cs="Merriweather" w:eastAsia="Merriweather" w:hAnsi="Merriweather"/>
          <w:color w:val="000000"/>
          <w:sz w:val="20"/>
          <w:szCs w:val="20"/>
        </w:rPr>
      </w:pPr>
      <w:sdt>
        <w:sdtPr>
          <w:tag w:val="goog_rdk_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0"/>
              <w:szCs w:val="20"/>
              <w:rtl w:val="0"/>
            </w:rPr>
            <w:t xml:space="preserve">. Տնկանյութի (փակ արմատային համակարգով աճեցված) տեղափոխումը տնկարանից մինչև տնկատեղ պետք է կատարվի արկղերի մեջ ուղղահայաց, մեկ շարքով դասավորված վիճակում։</w:t>
          </w:r>
        </w:sdtContent>
      </w:sdt>
    </w:p>
    <w:p w:rsidR="00000000" w:rsidDel="00000000" w:rsidP="00000000" w:rsidRDefault="00000000" w:rsidRPr="00000000" w14:paraId="00000098">
      <w:pPr>
        <w:spacing w:line="276" w:lineRule="auto"/>
        <w:jc w:val="both"/>
        <w:rPr>
          <w:rFonts w:ascii="Merriweather" w:cs="Merriweather" w:eastAsia="Merriweather" w:hAnsi="Merriweather"/>
          <w:i w:val="1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 </w:t>
      </w:r>
      <w:sdt>
        <w:sdtPr>
          <w:tag w:val="goog_rdk_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0"/>
              <w:szCs w:val="20"/>
              <w:rtl w:val="0"/>
            </w:rPr>
            <w:t xml:space="preserve"> Մրցույթի կազմակերպման կանոնները և հաղթողին որոշելու կարգը՝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Հայտ ներկայացնողն իրավունք ունի մասնակցել մրցույթի տեխնիկական բնութագրում նշված ինչպես մեկ, այնպես էլ մի քանի կամ բոլոր չափաբաժիններին միասին: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Հայտերի գնահատումը կատարվելու է յուրաքանչյուր չափաբաժնի համար առանձին, և ըստ այդմ հաղթողները որոշվելու են յուրաքանչյուր առանձին չափաբաժնի համար: Յուրաքանչյուր չափաբաժնի համար գնահատումը կատարվելու է մրցութային հանձնաժողովի կողմից` հայտ ներկայացնողներից ստացված գնային առաջարկների, տեխնիկական բնութագրի պահանջների համեմատման միջոցով: Հաղթողը որոշվելու է ներկայացված գնային առաջարկի և տեխնիկական պահանջներին առավելագույն համապատասխանության ընդհանուր համադրման արդյունքում: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Որևէ չափաբաժնի մասով հայտ չներկայացվելու կամ ներկայացված հայտերով նախատեսված չափաբաժիններից որևէ մեկի գծով հայտն անբավարար ճանաչելու կամ ներկայացված հայտերից որևէ մեկը մրցույթի պահանջներին բավարար չճանաչվելու դեպքում, մրցույթն ամբողջությամբ համարվում է չկայացած` նկատի ունենալով այն հանգամանքը, որ անտառտնկման նպատակով գնվելիք տնկանյութի ամբողջական ծավալի ապահովումը պետք է լինի միաժամանակ և համատեղ՝ նախանշված նպատակին հասնելու տեսանկյունից։ Մրցույթը չկայացած հայտարարվելուց հետո ոչ շուտ, քան 5 աշխատանքային օր հետո, կարող է հայտարարվել նոր մրցույթ: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Մրցույթի փաթեթները պետք է պատրաստվեն և ստորագրվեն և կնքվեն (կնիքի առկայության պարագայում) հայտը ներկայացնողների համապատասխան լիազորություն ունեցող անձանց կողմից, դրվեն փակ ծրարների մեջ, դրանք ևս ստորագրել ու կնքել (կնիքի առկայության պարագայում): Անհրաժեշտ է ներկայացնել 3 տարբեր ծրարներ, որոնցից մեկում կլինեն բնօրինակ փաստաթղթերը, իսկ մյուս երկուսում` պատճենները: Բոլոր ծրարների վրա պետք է պարտադիր կարգով նշված լինեն «բնօրինակ» կամ «պատճեն» բառերը, հայտ ներկայացնողների տվյալների (իրավաբանական անձանց դեպքում` անվանում, իրավաբանական և գործունեության հասցեներ, ՀՎՀՀ, կոնտակտային տվյալներ, այդ թվում` էլ. փոստի հասցե, իսկ ֆիզիկական անձանց դեպքում` անուն, ազգանուն, հայրանուն, անձնագրի սերիա ու </w:t>
          </w:r>
        </w:sdtContent>
      </w:sdt>
      <w:sdt>
        <w:sdtPr>
          <w:tag w:val="goog_rdk_55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համար, տրման ամսաթիվը, ում կողմից է տրված, հաշվառման հասցե, կոնտակտային տվյալներ, այդ թվում` էլ. փոստի հասցե (Փաթեթները պետք է ներկայացվեն Արշակունյաց 57/5 հասցեով, երկ․-ուրբ․ ժամը 9։00-17։00, հարցերի դեպքում խնդրում ենք զանգահարել հետևյալ հեռախոսահամարներով՝ Արթուր Հարությունյան +374-94-47-34-46 և Վահե Մացակյան +374-55-60-06-94)): Սույն կետի պահանջներին չբավարարող ծրարները մրցութային հանձնաժողովը կարող է չդիտարկել և մերժել: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sdt>
        <w:sdtPr>
          <w:tag w:val="goog_rdk_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Հայտերի բացումն ու գնահատումը տեղի կունենա մինչև 2021 թվականի հուլիսի 7-ը, իսկ մրցույթի արդյունքում հաղթող ճանաչված մասնակիցների մասին կտեղեկացվի վերջիններիս կողմից տրամադրված էլեկտրոնային փոստի հասցեներով մինչև 2021 թվականի հուլիսի 12-ը: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Վճարումը կատարվում է համապատասխան մատակարարումն ամբողջությամբ, իսկ մաս-մաս կատարելու դեպքում` տվյալ մասը հանձել-ընդունելու և դրա համար դուրս գրված հաշվարկային փաստաթուղթը ստանալուց հետո 10 (տասը) աշխատանքային օրվա ընթացքում, եթե առկա չեն մրցույթի պայմաններին անհամապատասխանության դեպքեր։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ind w:left="90" w:firstLine="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ind w:left="90" w:firstLine="0"/>
        <w:jc w:val="both"/>
        <w:rPr>
          <w:rFonts w:ascii="Merriweather" w:cs="Merriweather" w:eastAsia="Merriweather" w:hAnsi="Merriweather"/>
          <w:sz w:val="20"/>
          <w:szCs w:val="20"/>
          <w:highlight w:val="yellow"/>
        </w:rPr>
      </w:pPr>
      <w:sdt>
        <w:sdtPr>
          <w:tag w:val="goog_rdk_58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* կախված եղանակային պայմաններից նշված ամսվա (երի) օրերը կարող են ենթարկվել փոփոխությունների + - 10 օր։</w:t>
          </w:r>
        </w:sdtContent>
      </w:sdt>
      <w:r w:rsidDel="00000000" w:rsidR="00000000" w:rsidRPr="00000000">
        <w:rPr>
          <w:rtl w:val="0"/>
        </w:rPr>
      </w:r>
    </w:p>
    <w:sectPr>
      <w:footerReference r:id="rId8" w:type="default"/>
      <w:pgSz w:h="11906" w:w="16838" w:orient="landscape"/>
      <w:pgMar w:bottom="850" w:top="1350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GHEA Grapalat"/>
  <w:font w:name="Noto Sans Symbols"/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right"/>
      <w:rPr>
        <w:rFonts w:ascii="GHEA Grapalat" w:cs="GHEA Grapalat" w:eastAsia="GHEA Grapalat" w:hAnsi="GHEA Grapalat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GHEA Grapalat" w:cs="GHEA Grapalat" w:eastAsia="GHEA Grapalat" w:hAnsi="GHEA Grapalat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hy-AM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AD770B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paragraph" w:styleId="Heading1">
    <w:name w:val="heading 1"/>
    <w:basedOn w:val="Normal"/>
    <w:link w:val="Heading1Char"/>
    <w:uiPriority w:val="9"/>
    <w:qFormat w:val="1"/>
    <w:rsid w:val="00AD770B"/>
    <w:pPr>
      <w:spacing w:after="100" w:afterAutospacing="1" w:before="100" w:beforeAutospacing="1"/>
      <w:outlineLvl w:val="0"/>
    </w:pPr>
    <w:rPr>
      <w:b w:val="1"/>
      <w:bCs w:val="1"/>
      <w:kern w:val="36"/>
      <w:sz w:val="48"/>
      <w:szCs w:val="48"/>
      <w:lang w:bidi="he-IL" w:eastAsia="sv-SE" w:val="sv-SE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AD770B"/>
    <w:rPr>
      <w:rFonts w:ascii="Times New Roman" w:cs="Times New Roman" w:eastAsia="Times New Roman" w:hAnsi="Times New Roman"/>
      <w:b w:val="1"/>
      <w:bCs w:val="1"/>
      <w:kern w:val="36"/>
      <w:sz w:val="48"/>
      <w:szCs w:val="48"/>
      <w:lang w:bidi="he-IL" w:eastAsia="sv-SE" w:val="sv-SE"/>
    </w:rPr>
  </w:style>
  <w:style w:type="paragraph" w:styleId="sdproduct-name" w:customStyle="1">
    <w:name w:val="sd_product-name"/>
    <w:basedOn w:val="Normal"/>
    <w:rsid w:val="00AD770B"/>
    <w:pPr>
      <w:spacing w:after="100" w:afterAutospacing="1" w:before="100" w:beforeAutospacing="1"/>
    </w:pPr>
    <w:rPr>
      <w:lang w:bidi="he-IL" w:eastAsia="sv-SE" w:val="sv-SE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AD770B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AD770B"/>
    <w:rPr>
      <w:rFonts w:ascii="Tahoma" w:cs="Tahoma" w:eastAsia="Times New Roman" w:hAnsi="Tahoma"/>
      <w:sz w:val="16"/>
      <w:szCs w:val="16"/>
      <w:lang w:eastAsia="ru-RU"/>
    </w:rPr>
  </w:style>
  <w:style w:type="table" w:styleId="TableGrid">
    <w:name w:val="Table Grid"/>
    <w:basedOn w:val="TableNormal"/>
    <w:uiPriority w:val="59"/>
    <w:rsid w:val="00673D09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ListParagraph">
    <w:name w:val="List Paragraph"/>
    <w:basedOn w:val="Normal"/>
    <w:uiPriority w:val="34"/>
    <w:qFormat w:val="1"/>
    <w:rsid w:val="005E1D41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1D73DC"/>
    <w:pPr>
      <w:tabs>
        <w:tab w:val="center" w:pos="4677"/>
        <w:tab w:val="right" w:pos="9355"/>
      </w:tabs>
    </w:pPr>
  </w:style>
  <w:style w:type="character" w:styleId="HeaderChar" w:customStyle="1">
    <w:name w:val="Header Char"/>
    <w:basedOn w:val="DefaultParagraphFont"/>
    <w:link w:val="Header"/>
    <w:uiPriority w:val="99"/>
    <w:rsid w:val="001D73DC"/>
    <w:rPr>
      <w:rFonts w:ascii="Times New Roman" w:cs="Times New Roman" w:eastAsia="Times New Roman" w:hAnsi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unhideWhenUsed w:val="1"/>
    <w:rsid w:val="001D73DC"/>
    <w:pPr>
      <w:tabs>
        <w:tab w:val="center" w:pos="4677"/>
        <w:tab w:val="right" w:pos="9355"/>
      </w:tabs>
    </w:pPr>
  </w:style>
  <w:style w:type="character" w:styleId="FooterChar" w:customStyle="1">
    <w:name w:val="Footer Char"/>
    <w:basedOn w:val="DefaultParagraphFont"/>
    <w:link w:val="Footer"/>
    <w:uiPriority w:val="99"/>
    <w:rsid w:val="001D73DC"/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633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63372B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63372B"/>
    <w:rPr>
      <w:rFonts w:ascii="Times New Roman" w:cs="Times New Roman" w:eastAsia="Times New Roman" w:hAnsi="Times New Roman"/>
      <w:sz w:val="20"/>
      <w:szCs w:val="20"/>
      <w:lang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63372B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63372B"/>
    <w:rPr>
      <w:rFonts w:ascii="Times New Roman" w:cs="Times New Roman" w:eastAsia="Times New Roman" w:hAnsi="Times New Roman"/>
      <w:b w:val="1"/>
      <w:bCs w:val="1"/>
      <w:sz w:val="20"/>
      <w:szCs w:val="20"/>
      <w:lang w:eastAsia="ru-RU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vRwsHfF+RTpCf8SfMpnaw7HL4vQ==">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2021-06-07T12:19:00Z</dcterms:created>
  <dc:creator>user</dc:creator>
</cp:coreProperties>
</file>